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400135" w:rsidP="00400135">
            <w:pPr>
              <w:rPr>
                <w:rFonts w:ascii="Arial" w:hAnsi="Arial" w:cs="Arial"/>
              </w:rPr>
            </w:pPr>
            <w:r>
              <w:rPr>
                <w:rFonts w:ascii="Arial" w:hAnsi="Arial" w:cs="Arial"/>
              </w:rPr>
              <w:t>Entering into a funding agreement to provide grant for the provision of affordable housing under the Oxfordshire Housing and Growth Deal to Legal &amp; General Affordable Homes Ltd with respect to William Morris Close.</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400135" w:rsidP="00400135">
            <w:pPr>
              <w:rPr>
                <w:rFonts w:ascii="Arial" w:hAnsi="Arial" w:cs="Arial"/>
              </w:rPr>
            </w:pPr>
            <w:r>
              <w:rPr>
                <w:rFonts w:ascii="Arial" w:hAnsi="Arial" w:cs="Arial"/>
              </w:rPr>
              <w:t>8 April 2021</w:t>
            </w:r>
          </w:p>
        </w:tc>
      </w:tr>
      <w:tr w:rsidR="00854133" w:rsidTr="008E4629">
        <w:tc>
          <w:tcPr>
            <w:tcW w:w="4962" w:type="dxa"/>
          </w:tcPr>
          <w:p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4962" w:type="dxa"/>
          </w:tcPr>
          <w:p w:rsidR="00B52EB3" w:rsidRDefault="00B52EB3" w:rsidP="00B52EB3">
            <w:pPr>
              <w:rPr>
                <w:rFonts w:ascii="Arial" w:hAnsi="Arial" w:cs="Arial"/>
              </w:rPr>
            </w:pPr>
            <w:r>
              <w:rPr>
                <w:rFonts w:ascii="Arial" w:hAnsi="Arial" w:cs="Arial"/>
              </w:rPr>
              <w:t>Cabinet</w:t>
            </w:r>
            <w:r w:rsidR="00400135">
              <w:rPr>
                <w:rFonts w:ascii="Arial" w:hAnsi="Arial" w:cs="Arial"/>
              </w:rPr>
              <w:t xml:space="preserve"> </w:t>
            </w:r>
            <w:r w:rsidR="00D3394A">
              <w:rPr>
                <w:rFonts w:ascii="Arial" w:hAnsi="Arial" w:cs="Arial"/>
              </w:rPr>
              <w:t>on 14</w:t>
            </w:r>
            <w:r w:rsidR="00D3394A">
              <w:rPr>
                <w:rFonts w:ascii="Arial" w:hAnsi="Arial" w:cs="Arial"/>
                <w:vertAlign w:val="superscript"/>
              </w:rPr>
              <w:t xml:space="preserve"> </w:t>
            </w:r>
            <w:r w:rsidR="00D3394A">
              <w:rPr>
                <w:rFonts w:ascii="Arial" w:hAnsi="Arial" w:cs="Arial"/>
              </w:rPr>
              <w:t>October 2020</w:t>
            </w:r>
            <w:r>
              <w:rPr>
                <w:rFonts w:ascii="Arial" w:hAnsi="Arial" w:cs="Arial"/>
              </w:rPr>
              <w:t xml:space="preserve"> resolved to:</w:t>
            </w:r>
          </w:p>
          <w:p w:rsidR="00D3394A" w:rsidRPr="00D3394A" w:rsidRDefault="00D3394A" w:rsidP="00D3394A">
            <w:pPr>
              <w:pStyle w:val="ListParagraph"/>
              <w:numPr>
                <w:ilvl w:val="0"/>
                <w:numId w:val="8"/>
              </w:numPr>
              <w:rPr>
                <w:rFonts w:ascii="Arial" w:hAnsi="Arial" w:cs="Arial"/>
              </w:rPr>
            </w:pPr>
            <w:r w:rsidRPr="00D3394A">
              <w:rPr>
                <w:rFonts w:ascii="Arial" w:hAnsi="Arial" w:cs="Arial"/>
              </w:rPr>
              <w:t>Give project approval to the proposals, to accept and distribute grant; enter into funding agreements; and any other necessary agreements or contracts, as set out in this report for sites at William Morris Close; Gibbs Crescent; and Champion Way, for the purpose of delivering more affordable housing in Oxford, through the Oxfordshire Housing and Growth Deal programme.</w:t>
            </w:r>
          </w:p>
          <w:p w:rsidR="00D3394A" w:rsidRPr="00D3394A" w:rsidRDefault="00D3394A" w:rsidP="00D3394A">
            <w:pPr>
              <w:pStyle w:val="ListParagraph"/>
              <w:numPr>
                <w:ilvl w:val="0"/>
                <w:numId w:val="8"/>
              </w:numPr>
              <w:rPr>
                <w:rFonts w:ascii="Arial" w:hAnsi="Arial" w:cs="Arial"/>
              </w:rPr>
            </w:pPr>
            <w:r w:rsidRPr="00D3394A">
              <w:rPr>
                <w:rFonts w:ascii="Arial" w:hAnsi="Arial" w:cs="Arial"/>
              </w:rPr>
              <w:t>Note that the Head of Financial Services proposes to use financial delegations for grant funded capital schemes, to make the initial payment for William Morris Close, by the required deadline.</w:t>
            </w:r>
          </w:p>
          <w:p w:rsidR="00D3394A" w:rsidRPr="00D3394A" w:rsidRDefault="00D3394A" w:rsidP="00D3394A">
            <w:pPr>
              <w:pStyle w:val="ListParagraph"/>
              <w:numPr>
                <w:ilvl w:val="0"/>
                <w:numId w:val="8"/>
              </w:numPr>
              <w:rPr>
                <w:rFonts w:ascii="Arial" w:hAnsi="Arial" w:cs="Arial"/>
              </w:rPr>
            </w:pPr>
            <w:r w:rsidRPr="00D3394A">
              <w:rPr>
                <w:rFonts w:ascii="Arial" w:hAnsi="Arial" w:cs="Arial"/>
              </w:rPr>
              <w:t>Note that the budget for further Growth Deal grant payments will be requested in future budget reports.</w:t>
            </w:r>
          </w:p>
          <w:p w:rsidR="00D3394A" w:rsidRPr="00D3394A" w:rsidRDefault="00D3394A" w:rsidP="00D3394A">
            <w:pPr>
              <w:pStyle w:val="ListParagraph"/>
              <w:numPr>
                <w:ilvl w:val="0"/>
                <w:numId w:val="8"/>
              </w:numPr>
              <w:rPr>
                <w:rFonts w:ascii="Arial" w:hAnsi="Arial" w:cs="Arial"/>
              </w:rPr>
            </w:pPr>
            <w:r w:rsidRPr="00D3394A">
              <w:rPr>
                <w:rFonts w:ascii="Arial" w:hAnsi="Arial" w:cs="Arial"/>
              </w:rPr>
              <w:t>Delegate authority to the Director of Housing, in consultation with the Cabinet Member for Affordable Housing; the Head of Financial Services/Section 151 Officer; and the Council’s Monitoring Officer, to enter into funding and other necessary agreements for the purpose of delivery affordable housing through the Oxfordshire Housing and Growth Deal programme, within identified budgets, for the schemes listed in this report.</w:t>
            </w:r>
          </w:p>
          <w:p w:rsidR="00D3394A" w:rsidRPr="00D3394A" w:rsidRDefault="00D3394A" w:rsidP="00D3394A">
            <w:pPr>
              <w:pStyle w:val="ListParagraph"/>
              <w:numPr>
                <w:ilvl w:val="0"/>
                <w:numId w:val="8"/>
              </w:numPr>
              <w:rPr>
                <w:rFonts w:ascii="Arial" w:hAnsi="Arial" w:cs="Arial"/>
              </w:rPr>
            </w:pPr>
            <w:r w:rsidRPr="00D3394A">
              <w:rPr>
                <w:rFonts w:ascii="Arial" w:hAnsi="Arial" w:cs="Arial"/>
              </w:rPr>
              <w:t>Delegate authority to the Chief Executive, in consultation with the Cabinet Members for Finance and Asset Management, and Affordable Housing, to approve any agreements over £500,000 for affordable housing, within this project approval and budget envelope.</w:t>
            </w:r>
          </w:p>
          <w:p w:rsidR="004A049B" w:rsidRPr="00D3394A" w:rsidRDefault="00D3394A" w:rsidP="00D3394A">
            <w:pPr>
              <w:pStyle w:val="ListParagraph"/>
              <w:numPr>
                <w:ilvl w:val="0"/>
                <w:numId w:val="8"/>
              </w:numPr>
              <w:rPr>
                <w:rFonts w:ascii="Arial" w:hAnsi="Arial" w:cs="Arial"/>
              </w:rPr>
            </w:pPr>
            <w:r w:rsidRPr="00D3394A">
              <w:rPr>
                <w:rFonts w:ascii="Arial" w:hAnsi="Arial" w:cs="Arial"/>
              </w:rPr>
              <w:t xml:space="preserve">Recommend to Council that it approves a revision to the general fund capital budget in 2020/21 of £3,123,000, for the initial grant payment in relation to the William Morris Close site, and a further </w:t>
            </w:r>
            <w:r w:rsidRPr="00D3394A">
              <w:rPr>
                <w:rFonts w:ascii="Arial" w:hAnsi="Arial" w:cs="Arial"/>
              </w:rPr>
              <w:lastRenderedPageBreak/>
              <w:t xml:space="preserve">capital budget for 2021/22 of £347,000 to fund the remaining grant balance payable for that scheme all of which will be funded by capital grant income from Oxfordshire Housing and Growth Deal (OGD). </w:t>
            </w:r>
          </w:p>
        </w:tc>
      </w:tr>
      <w:tr w:rsidR="00B87695" w:rsidTr="008E4629">
        <w:tc>
          <w:tcPr>
            <w:tcW w:w="4962" w:type="dxa"/>
          </w:tcPr>
          <w:p w:rsidR="003B1236" w:rsidRPr="00B87695" w:rsidRDefault="00854133" w:rsidP="00C678ED">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4962" w:type="dxa"/>
          </w:tcPr>
          <w:p w:rsidR="006247C4" w:rsidRPr="00A96C08" w:rsidRDefault="00B52EB3" w:rsidP="00D3394A">
            <w:pPr>
              <w:rPr>
                <w:rFonts w:ascii="Arial" w:hAnsi="Arial" w:cs="Arial"/>
              </w:rPr>
            </w:pPr>
            <w:r>
              <w:rPr>
                <w:rFonts w:ascii="Arial" w:hAnsi="Arial" w:cs="Arial"/>
              </w:rPr>
              <w:t xml:space="preserve">To </w:t>
            </w:r>
            <w:r w:rsidR="00D3394A">
              <w:rPr>
                <w:rFonts w:ascii="Arial" w:hAnsi="Arial" w:cs="Arial"/>
              </w:rPr>
              <w:t>enter into a funding agreement to provide grant for the provision of affordable housing under the Oxfordshire Housing and Growth Deal to Legal &amp; General Affordable Homes Ltd with respect to William Morris Close.</w:t>
            </w:r>
          </w:p>
        </w:tc>
      </w:tr>
      <w:tr w:rsidR="00373F5D" w:rsidTr="008E4629">
        <w:tc>
          <w:tcPr>
            <w:tcW w:w="4962" w:type="dxa"/>
          </w:tcPr>
          <w:p w:rsidR="00373F5D" w:rsidRPr="00373F5D" w:rsidRDefault="00373F5D" w:rsidP="00C678ED">
            <w:pPr>
              <w:spacing w:before="120" w:after="120"/>
              <w:rPr>
                <w:rFonts w:ascii="Arial" w:hAnsi="Arial" w:cs="Arial"/>
              </w:rPr>
            </w:pPr>
            <w:r>
              <w:rPr>
                <w:rFonts w:ascii="Arial" w:hAnsi="Arial" w:cs="Arial"/>
                <w:b/>
              </w:rPr>
              <w:t xml:space="preserve">Purpose: </w:t>
            </w:r>
            <w:r>
              <w:rPr>
                <w:rFonts w:ascii="Arial" w:hAnsi="Arial" w:cs="Arial"/>
              </w:rPr>
              <w:t>What does the decision deliver or achieve?</w:t>
            </w:r>
          </w:p>
        </w:tc>
        <w:tc>
          <w:tcPr>
            <w:tcW w:w="4962" w:type="dxa"/>
          </w:tcPr>
          <w:p w:rsidR="00373F5D" w:rsidRPr="00A96C08" w:rsidRDefault="00330571" w:rsidP="00D3394A">
            <w:pPr>
              <w:rPr>
                <w:rFonts w:ascii="Arial" w:hAnsi="Arial" w:cs="Arial"/>
              </w:rPr>
            </w:pPr>
            <w:r>
              <w:rPr>
                <w:rFonts w:ascii="Arial" w:hAnsi="Arial" w:cs="Arial"/>
              </w:rPr>
              <w:t xml:space="preserve">Agreement </w:t>
            </w:r>
            <w:r w:rsidR="00D3394A">
              <w:rPr>
                <w:rFonts w:ascii="Arial" w:hAnsi="Arial" w:cs="Arial"/>
              </w:rPr>
              <w:t>to provide grant funding to support this development</w:t>
            </w:r>
          </w:p>
        </w:tc>
      </w:tr>
      <w:tr w:rsidR="00DC2E8D" w:rsidTr="008E4629">
        <w:tc>
          <w:tcPr>
            <w:tcW w:w="4962" w:type="dxa"/>
          </w:tcPr>
          <w:p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4962" w:type="dxa"/>
          </w:tcPr>
          <w:p w:rsidR="00CB5E4F" w:rsidRPr="00A96C08" w:rsidRDefault="00D3394A" w:rsidP="00330571">
            <w:pPr>
              <w:rPr>
                <w:rFonts w:ascii="Arial" w:hAnsi="Arial" w:cs="Arial"/>
              </w:rPr>
            </w:pPr>
            <w:r>
              <w:rPr>
                <w:rFonts w:ascii="Arial" w:hAnsi="Arial" w:cs="Arial"/>
              </w:rPr>
              <w:t>The conditions for the release of 90% of the funding has been met, and the development has already commenced on site.  The remaining grant is to be paid on completion.</w:t>
            </w:r>
          </w:p>
        </w:tc>
      </w:tr>
      <w:tr w:rsidR="00B87695" w:rsidTr="008E4629">
        <w:tc>
          <w:tcPr>
            <w:tcW w:w="4962" w:type="dxa"/>
          </w:tcPr>
          <w:p w:rsidR="00B87695" w:rsidRPr="00B87695" w:rsidRDefault="00B87695" w:rsidP="00C678ED">
            <w:pPr>
              <w:spacing w:before="120" w:after="120"/>
              <w:rPr>
                <w:rFonts w:ascii="Arial" w:hAnsi="Arial" w:cs="Arial"/>
              </w:rPr>
            </w:pPr>
            <w:r w:rsidRPr="00B87695">
              <w:rPr>
                <w:rFonts w:ascii="Arial" w:hAnsi="Arial" w:cs="Arial"/>
                <w:b/>
              </w:rPr>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4962" w:type="dxa"/>
          </w:tcPr>
          <w:p w:rsidR="00B87695" w:rsidRDefault="00D3394A" w:rsidP="008A22C6">
            <w:pPr>
              <w:rPr>
                <w:rFonts w:ascii="Arial" w:hAnsi="Arial" w:cs="Arial"/>
              </w:rPr>
            </w:pPr>
            <w:r>
              <w:rPr>
                <w:rFonts w:ascii="Arial" w:hAnsi="Arial" w:cs="Arial"/>
              </w:rPr>
              <w:t>Caroline Green, Chief Executive</w:t>
            </w:r>
          </w:p>
          <w:p w:rsidR="00B52EB3" w:rsidRDefault="00B52EB3" w:rsidP="008A22C6">
            <w:pPr>
              <w:rPr>
                <w:rFonts w:ascii="Arial" w:hAnsi="Arial" w:cs="Arial"/>
              </w:rPr>
            </w:pPr>
          </w:p>
          <w:p w:rsidR="00B52EB3" w:rsidRPr="00A96C08" w:rsidRDefault="00B52EB3" w:rsidP="009756CD">
            <w:pPr>
              <w:rPr>
                <w:rFonts w:ascii="Arial" w:hAnsi="Arial" w:cs="Arial"/>
              </w:rPr>
            </w:pPr>
            <w:r w:rsidRPr="00263739">
              <w:rPr>
                <w:rFonts w:ascii="Arial" w:hAnsi="Arial" w:cs="Arial"/>
              </w:rPr>
              <w:t xml:space="preserve">Decision taken in consultation with </w:t>
            </w:r>
            <w:proofErr w:type="spellStart"/>
            <w:r w:rsidR="009756CD" w:rsidRPr="009756CD">
              <w:rPr>
                <w:rFonts w:ascii="Arial" w:hAnsi="Arial" w:cs="Arial"/>
              </w:rPr>
              <w:t>Diko</w:t>
            </w:r>
            <w:proofErr w:type="spellEnd"/>
            <w:r w:rsidR="009756CD" w:rsidRPr="009756CD">
              <w:rPr>
                <w:rFonts w:ascii="Arial" w:hAnsi="Arial" w:cs="Arial"/>
              </w:rPr>
              <w:t xml:space="preserve"> Blackings, Cabinet Member for Affordable Housing, Housing Security and Housing the Homeless</w:t>
            </w:r>
            <w:r w:rsidR="009756CD">
              <w:rPr>
                <w:rFonts w:ascii="Arial" w:hAnsi="Arial" w:cs="Arial"/>
              </w:rPr>
              <w:t>; Cllr</w:t>
            </w:r>
            <w:r w:rsidR="00C01128" w:rsidRPr="00263739">
              <w:rPr>
                <w:rFonts w:ascii="Arial" w:hAnsi="Arial" w:cs="Arial"/>
              </w:rPr>
              <w:t xml:space="preserve"> Ed Turner, Cabinet Member for Finance and Asset Management</w:t>
            </w:r>
            <w:r w:rsidR="009756CD">
              <w:rPr>
                <w:rFonts w:ascii="Arial" w:hAnsi="Arial" w:cs="Arial"/>
              </w:rPr>
              <w:t>;</w:t>
            </w:r>
            <w:r w:rsidRPr="00263739">
              <w:rPr>
                <w:rFonts w:ascii="Arial" w:hAnsi="Arial" w:cs="Arial"/>
              </w:rPr>
              <w:t xml:space="preserve"> Nigel Kennedy, Head of Financial Services</w:t>
            </w:r>
            <w:r w:rsidR="009756CD">
              <w:rPr>
                <w:rFonts w:ascii="Arial" w:hAnsi="Arial" w:cs="Arial"/>
              </w:rPr>
              <w:t>;</w:t>
            </w:r>
            <w:r w:rsidRPr="00263739">
              <w:rPr>
                <w:rFonts w:ascii="Arial" w:hAnsi="Arial" w:cs="Arial"/>
              </w:rPr>
              <w:t xml:space="preserve"> and Susan Sale, Head of Law and Governance.</w:t>
            </w:r>
          </w:p>
        </w:tc>
      </w:tr>
      <w:tr w:rsidR="006F6326" w:rsidTr="008E4629">
        <w:tc>
          <w:tcPr>
            <w:tcW w:w="4962" w:type="dxa"/>
          </w:tcPr>
          <w:p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4962" w:type="dxa"/>
          </w:tcPr>
          <w:p w:rsidR="00263039" w:rsidRPr="00A96C08" w:rsidRDefault="00550775" w:rsidP="00330571">
            <w:pPr>
              <w:rPr>
                <w:rFonts w:ascii="Arial" w:hAnsi="Arial" w:cs="Arial"/>
              </w:rPr>
            </w:pPr>
            <w:r>
              <w:rPr>
                <w:rFonts w:ascii="Arial" w:hAnsi="Arial" w:cs="Arial"/>
              </w:rPr>
              <w:t>n/a</w:t>
            </w:r>
            <w:r w:rsidR="00330571">
              <w:rPr>
                <w:rFonts w:ascii="Arial" w:hAnsi="Arial" w:cs="Arial"/>
              </w:rPr>
              <w:t xml:space="preserve"> </w:t>
            </w:r>
          </w:p>
        </w:tc>
      </w:tr>
      <w:tr w:rsidR="006F6326" w:rsidTr="008E4629">
        <w:trPr>
          <w:trHeight w:val="1018"/>
        </w:trPr>
        <w:tc>
          <w:tcPr>
            <w:tcW w:w="4962" w:type="dxa"/>
          </w:tcPr>
          <w:p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4962" w:type="dxa"/>
          </w:tcPr>
          <w:p w:rsidR="006F6326" w:rsidRPr="00A96C08" w:rsidRDefault="00550775" w:rsidP="008A22C6">
            <w:pPr>
              <w:rPr>
                <w:rFonts w:ascii="Arial" w:hAnsi="Arial" w:cs="Arial"/>
              </w:rPr>
            </w:pPr>
            <w:r>
              <w:rPr>
                <w:rFonts w:ascii="Arial" w:hAnsi="Arial" w:cs="Arial"/>
              </w:rPr>
              <w:t>n/a</w:t>
            </w:r>
          </w:p>
        </w:tc>
      </w:tr>
      <w:tr w:rsidR="006F6326" w:rsidTr="008E4629">
        <w:tc>
          <w:tcPr>
            <w:tcW w:w="4962" w:type="dxa"/>
          </w:tcPr>
          <w:p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4962" w:type="dxa"/>
          </w:tcPr>
          <w:p w:rsidR="006F6326" w:rsidRPr="00A96C08" w:rsidRDefault="00B52EB3" w:rsidP="008A22C6">
            <w:pPr>
              <w:rPr>
                <w:rFonts w:ascii="Arial" w:hAnsi="Arial" w:cs="Arial"/>
              </w:rPr>
            </w:pPr>
            <w:r>
              <w:rPr>
                <w:rFonts w:ascii="Arial" w:hAnsi="Arial" w:cs="Arial"/>
              </w:rPr>
              <w:t>Key</w:t>
            </w:r>
          </w:p>
        </w:tc>
      </w:tr>
      <w:tr w:rsidR="006F6326" w:rsidTr="008E4629">
        <w:tc>
          <w:tcPr>
            <w:tcW w:w="4962" w:type="dxa"/>
          </w:tcPr>
          <w:p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4962" w:type="dxa"/>
          </w:tcPr>
          <w:p w:rsidR="006F6326" w:rsidRPr="00A96C08" w:rsidRDefault="00B52EB3" w:rsidP="008A22C6">
            <w:pPr>
              <w:rPr>
                <w:rFonts w:ascii="Arial" w:hAnsi="Arial" w:cs="Arial"/>
              </w:rPr>
            </w:pPr>
            <w:r>
              <w:rPr>
                <w:rFonts w:ascii="Arial" w:hAnsi="Arial" w:cs="Arial"/>
              </w:rPr>
              <w:t>None</w:t>
            </w:r>
          </w:p>
        </w:tc>
      </w:tr>
      <w:tr w:rsidR="006F6326" w:rsidTr="008E4629">
        <w:tc>
          <w:tcPr>
            <w:tcW w:w="4962" w:type="dxa"/>
          </w:tcPr>
          <w:p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4962" w:type="dxa"/>
          </w:tcPr>
          <w:p w:rsidR="006F6326" w:rsidRPr="00A96C08" w:rsidRDefault="00B52EB3"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4962" w:type="dxa"/>
          </w:tcPr>
          <w:p w:rsidR="00B52EB3" w:rsidRDefault="00550775" w:rsidP="008A22C6">
            <w:pPr>
              <w:rPr>
                <w:rFonts w:ascii="Arial" w:hAnsi="Arial" w:cs="Arial"/>
              </w:rPr>
            </w:pPr>
            <w:r>
              <w:rPr>
                <w:rFonts w:ascii="Arial" w:hAnsi="Arial" w:cs="Arial"/>
              </w:rPr>
              <w:t>Dave Scholes</w:t>
            </w:r>
          </w:p>
          <w:p w:rsidR="00550775" w:rsidRDefault="00550775" w:rsidP="008A22C6">
            <w:pPr>
              <w:rPr>
                <w:rFonts w:ascii="Arial" w:hAnsi="Arial" w:cs="Arial"/>
              </w:rPr>
            </w:pPr>
            <w:r>
              <w:rPr>
                <w:rFonts w:ascii="Arial" w:hAnsi="Arial" w:cs="Arial"/>
              </w:rPr>
              <w:t>Affordable Housing Corporate Lead</w:t>
            </w:r>
          </w:p>
          <w:p w:rsidR="00B52EB3" w:rsidRPr="00A96C08" w:rsidRDefault="009756CD" w:rsidP="00C01128">
            <w:pPr>
              <w:rPr>
                <w:rFonts w:ascii="Arial" w:hAnsi="Arial" w:cs="Arial"/>
              </w:rPr>
            </w:pPr>
            <w:r>
              <w:rPr>
                <w:rFonts w:ascii="Arial" w:hAnsi="Arial" w:cs="Arial"/>
              </w:rPr>
              <w:t xml:space="preserve">21 </w:t>
            </w:r>
            <w:bookmarkStart w:id="0" w:name="_GoBack"/>
            <w:bookmarkEnd w:id="0"/>
            <w:r w:rsidR="00C01128">
              <w:rPr>
                <w:rFonts w:ascii="Arial" w:hAnsi="Arial" w:cs="Arial"/>
              </w:rPr>
              <w:t>July</w:t>
            </w:r>
            <w:r w:rsidR="00550775">
              <w:rPr>
                <w:rFonts w:ascii="Arial" w:hAnsi="Arial" w:cs="Arial"/>
              </w:rPr>
              <w:t xml:space="preserve"> 2</w:t>
            </w:r>
            <w:r w:rsidR="00B52EB3">
              <w:rPr>
                <w:rFonts w:ascii="Arial" w:hAnsi="Arial" w:cs="Arial"/>
              </w:rPr>
              <w:t>021</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lastRenderedPageBreak/>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1161"/>
        </w:trPr>
        <w:tc>
          <w:tcPr>
            <w:tcW w:w="3828" w:type="dxa"/>
          </w:tcPr>
          <w:p w:rsidR="00DD4885" w:rsidRPr="00BF240D" w:rsidRDefault="00DD4885" w:rsidP="00BF240D">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r w:rsidR="00BF240D">
              <w:rPr>
                <w:rFonts w:ascii="Arial" w:hAnsi="Arial" w:cs="Arial"/>
              </w:rPr>
              <w:t>if required by the delegation / Constitution</w:t>
            </w:r>
          </w:p>
        </w:tc>
        <w:tc>
          <w:tcPr>
            <w:tcW w:w="4111" w:type="dxa"/>
            <w:vAlign w:val="center"/>
          </w:tcPr>
          <w:p w:rsidR="00DD4885" w:rsidRPr="00550775" w:rsidRDefault="00550775" w:rsidP="00550775">
            <w:pPr>
              <w:rPr>
                <w:rFonts w:ascii="Arial" w:hAnsi="Arial" w:cs="Arial"/>
              </w:rPr>
            </w:pPr>
            <w:r w:rsidRPr="00550775">
              <w:rPr>
                <w:rFonts w:ascii="Arial" w:hAnsi="Arial" w:cs="Arial"/>
              </w:rPr>
              <w:t xml:space="preserve">Nigel Kennedy, Head of Financial Services </w:t>
            </w:r>
          </w:p>
        </w:tc>
        <w:tc>
          <w:tcPr>
            <w:tcW w:w="1984" w:type="dxa"/>
            <w:vAlign w:val="center"/>
          </w:tcPr>
          <w:p w:rsidR="00DD4885" w:rsidRPr="00A96C08" w:rsidRDefault="00263739" w:rsidP="00DD4885">
            <w:pPr>
              <w:rPr>
                <w:rFonts w:ascii="Arial" w:hAnsi="Arial" w:cs="Arial"/>
              </w:rPr>
            </w:pPr>
            <w:r>
              <w:rPr>
                <w:rFonts w:ascii="Arial" w:hAnsi="Arial" w:cs="Arial"/>
              </w:rPr>
              <w:t>24 June 2021</w:t>
            </w:r>
          </w:p>
        </w:tc>
      </w:tr>
      <w:tr w:rsidR="00DD4885" w:rsidRPr="00A96C08" w:rsidTr="00BF240D">
        <w:trPr>
          <w:trHeight w:val="834"/>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if required</w:t>
            </w:r>
            <w:r w:rsidR="00BF240D">
              <w:rPr>
                <w:rFonts w:ascii="Arial" w:hAnsi="Arial" w:cs="Arial"/>
              </w:rPr>
              <w:t xml:space="preserve"> by the delegation / Constitution</w:t>
            </w:r>
          </w:p>
        </w:tc>
        <w:tc>
          <w:tcPr>
            <w:tcW w:w="4111" w:type="dxa"/>
            <w:vAlign w:val="center"/>
          </w:tcPr>
          <w:p w:rsidR="00DD4885" w:rsidRPr="00550775" w:rsidRDefault="00550775" w:rsidP="00DD4885">
            <w:pPr>
              <w:rPr>
                <w:rFonts w:ascii="Arial" w:hAnsi="Arial" w:cs="Arial"/>
              </w:rPr>
            </w:pPr>
            <w:r w:rsidRPr="00550775">
              <w:rPr>
                <w:rFonts w:ascii="Arial" w:hAnsi="Arial" w:cs="Arial"/>
              </w:rPr>
              <w:t>Susan Sale, Head of Law and Governance.</w:t>
            </w:r>
          </w:p>
        </w:tc>
        <w:tc>
          <w:tcPr>
            <w:tcW w:w="1984" w:type="dxa"/>
            <w:vAlign w:val="center"/>
          </w:tcPr>
          <w:p w:rsidR="00DD4885" w:rsidRPr="00A96C08" w:rsidRDefault="00263739" w:rsidP="00DD4885">
            <w:pPr>
              <w:rPr>
                <w:rFonts w:ascii="Arial" w:hAnsi="Arial" w:cs="Arial"/>
              </w:rPr>
            </w:pPr>
            <w:r>
              <w:rPr>
                <w:rFonts w:ascii="Arial" w:hAnsi="Arial" w:cs="Arial"/>
              </w:rPr>
              <w:t>25 June 2021</w:t>
            </w:r>
          </w:p>
        </w:tc>
      </w:tr>
      <w:tr w:rsidR="00DD4885" w:rsidRPr="00A96C08" w:rsidTr="00BF240D">
        <w:trPr>
          <w:trHeight w:val="562"/>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r w:rsidR="00BF240D" w:rsidRPr="00BF240D">
              <w:rPr>
                <w:rFonts w:ascii="Arial" w:hAnsi="Arial" w:cs="Arial"/>
              </w:rPr>
              <w:t>approval is</w:t>
            </w:r>
            <w:r w:rsidR="00BF240D">
              <w:rPr>
                <w:rFonts w:ascii="Arial" w:hAnsi="Arial" w:cs="Arial"/>
                <w:b/>
              </w:rPr>
              <w:t xml:space="preserve"> </w:t>
            </w:r>
            <w:r w:rsidR="00BF240D" w:rsidRPr="00BF240D">
              <w:rPr>
                <w:rFonts w:ascii="Arial" w:hAnsi="Arial" w:cs="Arial"/>
              </w:rPr>
              <w:t>required</w:t>
            </w:r>
            <w:r w:rsidR="00BF240D">
              <w:rPr>
                <w:rFonts w:ascii="Arial" w:hAnsi="Arial" w:cs="Arial"/>
              </w:rPr>
              <w:t xml:space="preserve"> for all decisions</w:t>
            </w:r>
          </w:p>
        </w:tc>
        <w:tc>
          <w:tcPr>
            <w:tcW w:w="4111" w:type="dxa"/>
            <w:vAlign w:val="center"/>
          </w:tcPr>
          <w:p w:rsidR="00DD4885" w:rsidRDefault="00550775" w:rsidP="00550775">
            <w:pPr>
              <w:rPr>
                <w:rFonts w:ascii="Arial" w:hAnsi="Arial" w:cs="Arial"/>
              </w:rPr>
            </w:pPr>
            <w:r w:rsidRPr="00550775">
              <w:rPr>
                <w:rFonts w:ascii="Arial" w:hAnsi="Arial" w:cs="Arial"/>
              </w:rPr>
              <w:t xml:space="preserve">Cllr </w:t>
            </w:r>
            <w:proofErr w:type="spellStart"/>
            <w:r w:rsidR="009756CD" w:rsidRPr="009756CD">
              <w:rPr>
                <w:rFonts w:ascii="Arial" w:hAnsi="Arial" w:cs="Arial"/>
              </w:rPr>
              <w:t>Diko</w:t>
            </w:r>
            <w:proofErr w:type="spellEnd"/>
            <w:r w:rsidR="009756CD" w:rsidRPr="009756CD">
              <w:rPr>
                <w:rFonts w:ascii="Arial" w:hAnsi="Arial" w:cs="Arial"/>
              </w:rPr>
              <w:t xml:space="preserve"> Blackings, Cabinet Member for Affordable Housing</w:t>
            </w:r>
            <w:r w:rsidR="009756CD">
              <w:rPr>
                <w:rFonts w:ascii="Arial" w:hAnsi="Arial" w:cs="Arial"/>
              </w:rPr>
              <w:t>, Housing Security and Housing the Homeless</w:t>
            </w:r>
          </w:p>
          <w:p w:rsidR="00C01128" w:rsidRPr="00550775" w:rsidRDefault="00C01128" w:rsidP="00550775">
            <w:pPr>
              <w:rPr>
                <w:rFonts w:ascii="Arial" w:hAnsi="Arial" w:cs="Arial"/>
              </w:rPr>
            </w:pPr>
            <w:r>
              <w:rPr>
                <w:rFonts w:ascii="Arial" w:hAnsi="Arial" w:cs="Arial"/>
              </w:rPr>
              <w:t>Cllr Ed Turner, Cabinet Member</w:t>
            </w:r>
            <w:r w:rsidRPr="00D3394A">
              <w:rPr>
                <w:rFonts w:ascii="Arial" w:hAnsi="Arial" w:cs="Arial"/>
              </w:rPr>
              <w:t xml:space="preserve"> for Finance and Asset Management</w:t>
            </w:r>
          </w:p>
        </w:tc>
        <w:tc>
          <w:tcPr>
            <w:tcW w:w="1984" w:type="dxa"/>
            <w:vAlign w:val="center"/>
          </w:tcPr>
          <w:p w:rsidR="00DD4885" w:rsidRDefault="00263739" w:rsidP="00DD4885">
            <w:pPr>
              <w:rPr>
                <w:rFonts w:ascii="Arial" w:hAnsi="Arial" w:cs="Arial"/>
              </w:rPr>
            </w:pPr>
            <w:r>
              <w:rPr>
                <w:rFonts w:ascii="Arial" w:hAnsi="Arial" w:cs="Arial"/>
              </w:rPr>
              <w:t>2</w:t>
            </w:r>
            <w:r w:rsidR="009756CD">
              <w:rPr>
                <w:rFonts w:ascii="Arial" w:hAnsi="Arial" w:cs="Arial"/>
              </w:rPr>
              <w:t>1</w:t>
            </w:r>
            <w:r>
              <w:rPr>
                <w:rFonts w:ascii="Arial" w:hAnsi="Arial" w:cs="Arial"/>
              </w:rPr>
              <w:t xml:space="preserve"> Ju</w:t>
            </w:r>
            <w:r w:rsidR="009756CD">
              <w:rPr>
                <w:rFonts w:ascii="Arial" w:hAnsi="Arial" w:cs="Arial"/>
              </w:rPr>
              <w:t>ly</w:t>
            </w:r>
            <w:r>
              <w:rPr>
                <w:rFonts w:ascii="Arial" w:hAnsi="Arial" w:cs="Arial"/>
              </w:rPr>
              <w:t xml:space="preserve"> 2021</w:t>
            </w:r>
          </w:p>
          <w:p w:rsidR="00263739" w:rsidRDefault="00263739" w:rsidP="00DD4885">
            <w:pPr>
              <w:rPr>
                <w:rFonts w:ascii="Arial" w:hAnsi="Arial" w:cs="Arial"/>
              </w:rPr>
            </w:pPr>
          </w:p>
          <w:p w:rsidR="00263739" w:rsidRPr="00A96C08" w:rsidRDefault="00263739" w:rsidP="00DD4885">
            <w:pPr>
              <w:rPr>
                <w:rFonts w:ascii="Arial" w:hAnsi="Arial" w:cs="Arial"/>
              </w:rPr>
            </w:pPr>
            <w:r>
              <w:rPr>
                <w:rFonts w:ascii="Arial" w:hAnsi="Arial" w:cs="Arial"/>
              </w:rPr>
              <w:t>5 July 2021</w:t>
            </w:r>
          </w:p>
        </w:tc>
      </w:tr>
    </w:tbl>
    <w:p w:rsidR="008E4629" w:rsidRDefault="008E4629" w:rsidP="002611EB">
      <w:pPr>
        <w:rPr>
          <w:rFonts w:ascii="Arial" w:hAnsi="Arial" w:cs="Arial"/>
        </w:rPr>
      </w:pPr>
    </w:p>
    <w:sectPr w:rsidR="008E4629" w:rsidSect="00532DF2">
      <w:footerReference w:type="default" r:id="rId8"/>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231385"/>
    <w:rsid w:val="002611EB"/>
    <w:rsid w:val="00263039"/>
    <w:rsid w:val="00263739"/>
    <w:rsid w:val="002A07C9"/>
    <w:rsid w:val="002B53D4"/>
    <w:rsid w:val="002E61DD"/>
    <w:rsid w:val="00330571"/>
    <w:rsid w:val="00335A9B"/>
    <w:rsid w:val="003505E0"/>
    <w:rsid w:val="003547CD"/>
    <w:rsid w:val="00373F5D"/>
    <w:rsid w:val="003B1236"/>
    <w:rsid w:val="004000D7"/>
    <w:rsid w:val="00400135"/>
    <w:rsid w:val="00405321"/>
    <w:rsid w:val="00424A92"/>
    <w:rsid w:val="004A049B"/>
    <w:rsid w:val="004B1944"/>
    <w:rsid w:val="00504E43"/>
    <w:rsid w:val="00532DF2"/>
    <w:rsid w:val="00550775"/>
    <w:rsid w:val="005C6416"/>
    <w:rsid w:val="005E37E4"/>
    <w:rsid w:val="00616F3F"/>
    <w:rsid w:val="006247C4"/>
    <w:rsid w:val="006F6326"/>
    <w:rsid w:val="006F6731"/>
    <w:rsid w:val="007908F4"/>
    <w:rsid w:val="007D270E"/>
    <w:rsid w:val="00801BEB"/>
    <w:rsid w:val="00804BF2"/>
    <w:rsid w:val="00834D72"/>
    <w:rsid w:val="00844D21"/>
    <w:rsid w:val="00854133"/>
    <w:rsid w:val="008613FB"/>
    <w:rsid w:val="008676E5"/>
    <w:rsid w:val="008900A7"/>
    <w:rsid w:val="00891B19"/>
    <w:rsid w:val="008A22C6"/>
    <w:rsid w:val="008D5901"/>
    <w:rsid w:val="008E4629"/>
    <w:rsid w:val="009756CD"/>
    <w:rsid w:val="00986C99"/>
    <w:rsid w:val="009F048F"/>
    <w:rsid w:val="009F6401"/>
    <w:rsid w:val="00A12928"/>
    <w:rsid w:val="00A96C08"/>
    <w:rsid w:val="00AC5899"/>
    <w:rsid w:val="00B15340"/>
    <w:rsid w:val="00B52EB3"/>
    <w:rsid w:val="00B87695"/>
    <w:rsid w:val="00B928EF"/>
    <w:rsid w:val="00BD4490"/>
    <w:rsid w:val="00BE1FD4"/>
    <w:rsid w:val="00BF240D"/>
    <w:rsid w:val="00C01128"/>
    <w:rsid w:val="00C07F80"/>
    <w:rsid w:val="00C251F7"/>
    <w:rsid w:val="00C6130E"/>
    <w:rsid w:val="00C678ED"/>
    <w:rsid w:val="00CB5E4F"/>
    <w:rsid w:val="00CD4BC9"/>
    <w:rsid w:val="00CE6085"/>
    <w:rsid w:val="00D3394A"/>
    <w:rsid w:val="00D33F83"/>
    <w:rsid w:val="00D543D9"/>
    <w:rsid w:val="00DB01D4"/>
    <w:rsid w:val="00DC2E8D"/>
    <w:rsid w:val="00DD1A34"/>
    <w:rsid w:val="00DD4885"/>
    <w:rsid w:val="00DD51B2"/>
    <w:rsid w:val="00E127E3"/>
    <w:rsid w:val="00E20A54"/>
    <w:rsid w:val="00E270E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8253-0175-4A93-8662-7C70C262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251395F7</Template>
  <TotalTime>1</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BROWN Andrew J</cp:lastModifiedBy>
  <cp:revision>2</cp:revision>
  <cp:lastPrinted>2015-07-27T09:35:00Z</cp:lastPrinted>
  <dcterms:created xsi:type="dcterms:W3CDTF">2021-07-26T13:40:00Z</dcterms:created>
  <dcterms:modified xsi:type="dcterms:W3CDTF">2021-07-26T13:40:00Z</dcterms:modified>
</cp:coreProperties>
</file>